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39761" w14:textId="77777777" w:rsidR="00C02135" w:rsidRPr="00C02135" w:rsidRDefault="00C02135" w:rsidP="00C0213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D8C5977" w14:textId="4B24E86F" w:rsidR="00C02135" w:rsidRDefault="00C02135" w:rsidP="00C0213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02135">
        <w:rPr>
          <w:rFonts w:cstheme="minorHAnsi"/>
          <w:sz w:val="24"/>
          <w:szCs w:val="24"/>
        </w:rPr>
        <w:t xml:space="preserve">Instalacje teleinformatyczna wykonać w kat. 6A klasa EA, okablowanie użyte minimum S/FTP 650MHz w powłoce LSZH. Okablowanie teleinformatyczne należy doprowadzić do </w:t>
      </w:r>
      <w:r w:rsidRPr="00C02135">
        <w:rPr>
          <w:rFonts w:cstheme="minorHAnsi"/>
          <w:sz w:val="24"/>
          <w:szCs w:val="24"/>
        </w:rPr>
        <w:t>istniejącej</w:t>
      </w:r>
      <w:r w:rsidRPr="00C02135">
        <w:rPr>
          <w:rFonts w:cstheme="minorHAnsi"/>
          <w:sz w:val="24"/>
          <w:szCs w:val="24"/>
        </w:rPr>
        <w:t xml:space="preserve"> szafy teleinformatycznej oznaczonej jako FDC4 znajdującej sią na Oddziale Ginekologicznym</w:t>
      </w:r>
      <w:r>
        <w:rPr>
          <w:rFonts w:cstheme="minorHAnsi"/>
          <w:sz w:val="24"/>
          <w:szCs w:val="24"/>
        </w:rPr>
        <w:t xml:space="preserve"> i zakończyć na </w:t>
      </w:r>
      <w:proofErr w:type="spellStart"/>
      <w:r>
        <w:rPr>
          <w:rFonts w:cstheme="minorHAnsi"/>
          <w:sz w:val="24"/>
          <w:szCs w:val="24"/>
        </w:rPr>
        <w:t>patchpanelu</w:t>
      </w:r>
      <w:proofErr w:type="spellEnd"/>
      <w:r w:rsidRPr="00C02135">
        <w:rPr>
          <w:rFonts w:cstheme="minorHAnsi"/>
          <w:sz w:val="24"/>
          <w:szCs w:val="24"/>
        </w:rPr>
        <w:t>. Terminowanie kabla w gniazdach RJ45 należy wykonać wg specyfikacji T568B.</w:t>
      </w:r>
    </w:p>
    <w:p w14:paraId="24CC40A3" w14:textId="77777777" w:rsidR="00C02135" w:rsidRDefault="00C02135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0649FDA" w14:textId="5C50DA1C" w:rsidR="00FD749A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44FC0">
        <w:rPr>
          <w:rFonts w:cstheme="minorHAnsi"/>
          <w:sz w:val="24"/>
          <w:szCs w:val="24"/>
        </w:rPr>
        <w:t>Punkt logiczny składa si</w:t>
      </w:r>
      <w:r w:rsidRPr="00A44FC0">
        <w:rPr>
          <w:rFonts w:eastAsia="ArialNarrow" w:cstheme="minorHAnsi"/>
          <w:sz w:val="24"/>
          <w:szCs w:val="24"/>
        </w:rPr>
        <w:t xml:space="preserve">ę </w:t>
      </w:r>
      <w:r w:rsidRPr="00A44FC0">
        <w:rPr>
          <w:rFonts w:cstheme="minorHAnsi"/>
          <w:sz w:val="24"/>
          <w:szCs w:val="24"/>
        </w:rPr>
        <w:t>z ramki instalacyjnej z potrójnym gniazdem kodowanym 230V</w:t>
      </w:r>
      <w:r>
        <w:rPr>
          <w:rFonts w:cstheme="minorHAnsi"/>
          <w:sz w:val="24"/>
          <w:szCs w:val="24"/>
        </w:rPr>
        <w:t xml:space="preserve"> lub podwójnym gniazdem kodowanym 230V (w zależności od lokalizacji) </w:t>
      </w:r>
      <w:r w:rsidRPr="00A44FC0">
        <w:rPr>
          <w:rFonts w:cstheme="minorHAnsi"/>
          <w:sz w:val="24"/>
          <w:szCs w:val="24"/>
        </w:rPr>
        <w:t xml:space="preserve">oraz ramki </w:t>
      </w:r>
      <w:r>
        <w:rPr>
          <w:rFonts w:cstheme="minorHAnsi"/>
          <w:sz w:val="24"/>
          <w:szCs w:val="24"/>
        </w:rPr>
        <w:t>z</w:t>
      </w:r>
      <w:r w:rsidRPr="00A44FC0">
        <w:rPr>
          <w:rFonts w:cstheme="minorHAnsi"/>
          <w:sz w:val="24"/>
          <w:szCs w:val="24"/>
        </w:rPr>
        <w:t xml:space="preserve"> podwójnym gniazdem RJ45 dla sieci logicznej wbudowanych w puszki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natynkowe. Przył</w:t>
      </w:r>
      <w:r w:rsidRPr="00A44FC0">
        <w:rPr>
          <w:rFonts w:eastAsia="ArialNarrow" w:cstheme="minorHAnsi"/>
          <w:sz w:val="24"/>
          <w:szCs w:val="24"/>
        </w:rPr>
        <w:t>ą</w:t>
      </w:r>
      <w:r w:rsidRPr="00A44FC0">
        <w:rPr>
          <w:rFonts w:cstheme="minorHAnsi"/>
          <w:sz w:val="24"/>
          <w:szCs w:val="24"/>
        </w:rPr>
        <w:t>cza logiczne i elektryczne montowane w jednym miejscu stano</w:t>
      </w:r>
      <w:r>
        <w:rPr>
          <w:rFonts w:cstheme="minorHAnsi"/>
          <w:sz w:val="24"/>
          <w:szCs w:val="24"/>
        </w:rPr>
        <w:t>wić będą</w:t>
      </w:r>
      <w:r w:rsidRPr="00A44FC0">
        <w:rPr>
          <w:rFonts w:eastAsia="ArialNarrow" w:cstheme="minorHAnsi"/>
          <w:sz w:val="24"/>
          <w:szCs w:val="24"/>
        </w:rPr>
        <w:t xml:space="preserve"> </w:t>
      </w:r>
      <w:r w:rsidRPr="00A44FC0">
        <w:rPr>
          <w:rFonts w:cstheme="minorHAnsi"/>
          <w:b/>
          <w:bCs/>
          <w:sz w:val="24"/>
          <w:szCs w:val="24"/>
        </w:rPr>
        <w:t>P</w:t>
      </w:r>
      <w:r w:rsidRPr="00A44FC0">
        <w:rPr>
          <w:rFonts w:cstheme="minorHAnsi"/>
          <w:sz w:val="24"/>
          <w:szCs w:val="24"/>
        </w:rPr>
        <w:t>rzył</w:t>
      </w:r>
      <w:r w:rsidRPr="00A44FC0">
        <w:rPr>
          <w:rFonts w:eastAsia="ArialNarrow" w:cstheme="minorHAnsi"/>
          <w:sz w:val="24"/>
          <w:szCs w:val="24"/>
        </w:rPr>
        <w:t>ą</w:t>
      </w:r>
      <w:r w:rsidRPr="00A44FC0">
        <w:rPr>
          <w:rFonts w:cstheme="minorHAnsi"/>
          <w:sz w:val="24"/>
          <w:szCs w:val="24"/>
        </w:rPr>
        <w:t xml:space="preserve">cze </w:t>
      </w:r>
      <w:r w:rsidRPr="00A44FC0">
        <w:rPr>
          <w:rFonts w:cstheme="minorHAnsi"/>
          <w:b/>
          <w:bCs/>
          <w:sz w:val="24"/>
          <w:szCs w:val="24"/>
        </w:rPr>
        <w:t>E</w:t>
      </w:r>
      <w:r w:rsidRPr="00A44FC0">
        <w:rPr>
          <w:rFonts w:cstheme="minorHAnsi"/>
          <w:sz w:val="24"/>
          <w:szCs w:val="24"/>
        </w:rPr>
        <w:t>lektryczno-</w:t>
      </w:r>
      <w:r w:rsidRPr="00A44FC0">
        <w:rPr>
          <w:rFonts w:cstheme="minorHAnsi"/>
          <w:b/>
          <w:bCs/>
          <w:sz w:val="24"/>
          <w:szCs w:val="24"/>
        </w:rPr>
        <w:t>L</w:t>
      </w:r>
      <w:r w:rsidRPr="00A44FC0">
        <w:rPr>
          <w:rFonts w:cstheme="minorHAnsi"/>
          <w:sz w:val="24"/>
          <w:szCs w:val="24"/>
        </w:rPr>
        <w:t>ogiczne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(PEL). Do instalacji zasilaj</w:t>
      </w:r>
      <w:r w:rsidRPr="00A44FC0">
        <w:rPr>
          <w:rFonts w:eastAsia="ArialNarrow" w:cstheme="minorHAnsi"/>
          <w:sz w:val="24"/>
          <w:szCs w:val="24"/>
        </w:rPr>
        <w:t>ą</w:t>
      </w:r>
      <w:r w:rsidRPr="00A44FC0">
        <w:rPr>
          <w:rFonts w:cstheme="minorHAnsi"/>
          <w:sz w:val="24"/>
          <w:szCs w:val="24"/>
        </w:rPr>
        <w:t xml:space="preserve">cej </w:t>
      </w:r>
      <w:r>
        <w:rPr>
          <w:rFonts w:cstheme="minorHAnsi"/>
          <w:sz w:val="24"/>
          <w:szCs w:val="24"/>
        </w:rPr>
        <w:t>muszą zostać</w:t>
      </w:r>
      <w:r w:rsidRPr="00A44FC0">
        <w:rPr>
          <w:rFonts w:cstheme="minorHAnsi"/>
          <w:sz w:val="24"/>
          <w:szCs w:val="24"/>
        </w:rPr>
        <w:t xml:space="preserve"> zastosowane specjalne gniazda elektryczne z blokad</w:t>
      </w:r>
      <w:r w:rsidRPr="00A44FC0">
        <w:rPr>
          <w:rFonts w:eastAsia="ArialNarrow" w:cstheme="minorHAnsi"/>
          <w:sz w:val="24"/>
          <w:szCs w:val="24"/>
        </w:rPr>
        <w:t xml:space="preserve">ą </w:t>
      </w:r>
      <w:r w:rsidRPr="00A44FC0">
        <w:rPr>
          <w:rFonts w:cstheme="minorHAnsi"/>
          <w:sz w:val="24"/>
          <w:szCs w:val="24"/>
        </w:rPr>
        <w:t>(DATA),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uniemo</w:t>
      </w:r>
      <w:r w:rsidRPr="00A44FC0">
        <w:rPr>
          <w:rFonts w:eastAsia="ArialNarrow" w:cstheme="minorHAnsi"/>
          <w:sz w:val="24"/>
          <w:szCs w:val="24"/>
        </w:rPr>
        <w:t>ż</w:t>
      </w:r>
      <w:r w:rsidRPr="00A44FC0">
        <w:rPr>
          <w:rFonts w:cstheme="minorHAnsi"/>
          <w:sz w:val="24"/>
          <w:szCs w:val="24"/>
        </w:rPr>
        <w:t>liwiaj</w:t>
      </w:r>
      <w:r w:rsidRPr="00A44FC0">
        <w:rPr>
          <w:rFonts w:eastAsia="ArialNarrow" w:cstheme="minorHAnsi"/>
          <w:sz w:val="24"/>
          <w:szCs w:val="24"/>
        </w:rPr>
        <w:t>ą</w:t>
      </w:r>
      <w:r w:rsidRPr="00A44FC0">
        <w:rPr>
          <w:rFonts w:cstheme="minorHAnsi"/>
          <w:sz w:val="24"/>
          <w:szCs w:val="24"/>
        </w:rPr>
        <w:t>c</w:t>
      </w:r>
      <w:r w:rsidRPr="00A44FC0">
        <w:rPr>
          <w:rFonts w:eastAsia="ArialNarrow" w:cstheme="minorHAnsi"/>
          <w:sz w:val="24"/>
          <w:szCs w:val="24"/>
        </w:rPr>
        <w:t>ą</w:t>
      </w:r>
      <w:r w:rsidRPr="00A44FC0">
        <w:rPr>
          <w:rFonts w:eastAsia="ArialNarrow"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wł</w:t>
      </w:r>
      <w:r w:rsidRPr="00A44FC0">
        <w:rPr>
          <w:rFonts w:eastAsia="ArialNarrow" w:cstheme="minorHAnsi"/>
          <w:sz w:val="24"/>
          <w:szCs w:val="24"/>
        </w:rPr>
        <w:t>ą</w:t>
      </w:r>
      <w:r w:rsidRPr="00A44FC0">
        <w:rPr>
          <w:rFonts w:cstheme="minorHAnsi"/>
          <w:sz w:val="24"/>
          <w:szCs w:val="24"/>
        </w:rPr>
        <w:t>czenie do sieci przypadkowych odbiorników elektrycznych.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Każde</w:t>
      </w:r>
      <w:r w:rsidRPr="00A44FC0">
        <w:rPr>
          <w:rFonts w:cstheme="minorHAnsi"/>
          <w:sz w:val="24"/>
          <w:szCs w:val="24"/>
        </w:rPr>
        <w:t xml:space="preserve"> stanowisko robocze </w:t>
      </w:r>
      <w:r>
        <w:rPr>
          <w:rFonts w:cstheme="minorHAnsi"/>
          <w:sz w:val="24"/>
          <w:szCs w:val="24"/>
        </w:rPr>
        <w:t xml:space="preserve">musi </w:t>
      </w:r>
      <w:r w:rsidRPr="00A44FC0">
        <w:rPr>
          <w:rFonts w:cstheme="minorHAnsi"/>
          <w:sz w:val="24"/>
          <w:szCs w:val="24"/>
        </w:rPr>
        <w:t>posiada</w:t>
      </w:r>
      <w:r>
        <w:rPr>
          <w:rFonts w:cstheme="minorHAnsi"/>
          <w:sz w:val="24"/>
          <w:szCs w:val="24"/>
        </w:rPr>
        <w:t>ć</w:t>
      </w:r>
      <w:r w:rsidRPr="00A44FC0">
        <w:rPr>
          <w:rFonts w:cstheme="minorHAnsi"/>
          <w:sz w:val="24"/>
          <w:szCs w:val="24"/>
        </w:rPr>
        <w:t xml:space="preserve"> dwa, jednoznacznie określone, przyłącze logiczne zidentyfikowane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w punkcie dystrybucyjnym FDC</w:t>
      </w:r>
      <w:r>
        <w:rPr>
          <w:rFonts w:cstheme="minorHAnsi"/>
          <w:sz w:val="24"/>
          <w:szCs w:val="24"/>
        </w:rPr>
        <w:t xml:space="preserve">4 </w:t>
      </w:r>
      <w:r w:rsidRPr="00A44FC0">
        <w:rPr>
          <w:rFonts w:cstheme="minorHAnsi"/>
          <w:sz w:val="24"/>
          <w:szCs w:val="24"/>
        </w:rPr>
        <w:t xml:space="preserve">jako kolejne </w:t>
      </w:r>
      <w:r>
        <w:rPr>
          <w:rFonts w:cstheme="minorHAnsi"/>
          <w:sz w:val="24"/>
          <w:szCs w:val="24"/>
        </w:rPr>
        <w:br/>
      </w:r>
      <w:r w:rsidRPr="00A44FC0">
        <w:rPr>
          <w:rFonts w:cstheme="minorHAnsi"/>
          <w:sz w:val="24"/>
          <w:szCs w:val="24"/>
        </w:rPr>
        <w:t>i nie powtarzające się numery portów. Dla komputerów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oznaczone literą K i zakończone na panelu K oraz dla telefonów oznaczone literą T i zakończone na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panelu T</w:t>
      </w:r>
      <w:r>
        <w:rPr>
          <w:rFonts w:cstheme="minorHAnsi"/>
          <w:sz w:val="24"/>
          <w:szCs w:val="24"/>
        </w:rPr>
        <w:t>.</w:t>
      </w:r>
    </w:p>
    <w:p w14:paraId="7795B5E6" w14:textId="4570305D" w:rsid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33EDE75" w14:textId="5C012950" w:rsidR="00A44FC0" w:rsidRP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44FC0">
        <w:rPr>
          <w:rFonts w:cstheme="minorHAnsi"/>
          <w:sz w:val="24"/>
          <w:szCs w:val="24"/>
        </w:rPr>
        <w:t>Kable logiczne opisa</w:t>
      </w:r>
      <w:r>
        <w:rPr>
          <w:rFonts w:cstheme="minorHAnsi"/>
          <w:sz w:val="24"/>
          <w:szCs w:val="24"/>
        </w:rPr>
        <w:t>ć</w:t>
      </w:r>
      <w:r w:rsidRPr="00A44FC0">
        <w:rPr>
          <w:rFonts w:cstheme="minorHAnsi"/>
          <w:sz w:val="24"/>
          <w:szCs w:val="24"/>
        </w:rPr>
        <w:t xml:space="preserve"> w jednolity sposób w numeracji ciągłej dla całego poziomu. Numerowi</w:t>
      </w:r>
    </w:p>
    <w:p w14:paraId="2DE90CC4" w14:textId="6F4BC7B1" w:rsidR="00A44FC0" w:rsidRP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44FC0">
        <w:rPr>
          <w:rFonts w:cstheme="minorHAnsi"/>
          <w:sz w:val="24"/>
          <w:szCs w:val="24"/>
        </w:rPr>
        <w:t xml:space="preserve">gniazda logicznego odpowiada numer portu na </w:t>
      </w:r>
      <w:proofErr w:type="spellStart"/>
      <w:r w:rsidRPr="00A44FC0">
        <w:rPr>
          <w:rFonts w:cstheme="minorHAnsi"/>
          <w:sz w:val="24"/>
          <w:szCs w:val="24"/>
        </w:rPr>
        <w:t>patch</w:t>
      </w:r>
      <w:proofErr w:type="spellEnd"/>
      <w:r w:rsidRPr="00A44FC0">
        <w:rPr>
          <w:rFonts w:cstheme="minorHAnsi"/>
          <w:sz w:val="24"/>
          <w:szCs w:val="24"/>
        </w:rPr>
        <w:t xml:space="preserve">-panelu w szafie </w:t>
      </w:r>
      <w:proofErr w:type="spellStart"/>
      <w:r w:rsidRPr="00A44FC0">
        <w:rPr>
          <w:rFonts w:cstheme="minorHAnsi"/>
          <w:sz w:val="24"/>
          <w:szCs w:val="24"/>
        </w:rPr>
        <w:t>krosowniczej</w:t>
      </w:r>
      <w:proofErr w:type="spellEnd"/>
      <w:r w:rsidRPr="00A44FC0">
        <w:rPr>
          <w:rFonts w:cstheme="minorHAnsi"/>
          <w:sz w:val="24"/>
          <w:szCs w:val="24"/>
        </w:rPr>
        <w:t xml:space="preserve"> FDC</w:t>
      </w:r>
      <w:r>
        <w:rPr>
          <w:rFonts w:cstheme="minorHAnsi"/>
          <w:sz w:val="24"/>
          <w:szCs w:val="24"/>
        </w:rPr>
        <w:t>4</w:t>
      </w:r>
      <w:r w:rsidRPr="00A44FC0">
        <w:rPr>
          <w:rFonts w:cstheme="minorHAnsi"/>
          <w:sz w:val="24"/>
          <w:szCs w:val="24"/>
        </w:rPr>
        <w:t>.</w:t>
      </w:r>
    </w:p>
    <w:p w14:paraId="7BFC4AB4" w14:textId="03E99399" w:rsid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32D0177F" w14:textId="24D6A122" w:rsid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Pr="00A44FC0">
        <w:rPr>
          <w:rFonts w:cstheme="minorHAnsi"/>
          <w:sz w:val="24"/>
          <w:szCs w:val="24"/>
        </w:rPr>
        <w:t xml:space="preserve">rzy </w:t>
      </w:r>
      <w:r>
        <w:rPr>
          <w:rFonts w:cstheme="minorHAnsi"/>
          <w:sz w:val="24"/>
          <w:szCs w:val="24"/>
        </w:rPr>
        <w:t>lub dwa</w:t>
      </w:r>
      <w:r w:rsidR="00C02135"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 xml:space="preserve">gniazda zasilające z kołkiem i blokadą (nie odwracające </w:t>
      </w:r>
      <w:proofErr w:type="gramStart"/>
      <w:r w:rsidRPr="00A44FC0">
        <w:rPr>
          <w:rFonts w:cstheme="minorHAnsi"/>
          <w:sz w:val="24"/>
          <w:szCs w:val="24"/>
        </w:rPr>
        <w:t>fazy )</w:t>
      </w:r>
      <w:proofErr w:type="gramEnd"/>
      <w:r w:rsidRPr="00A44FC0">
        <w:rPr>
          <w:rFonts w:cstheme="minorHAnsi"/>
          <w:sz w:val="24"/>
          <w:szCs w:val="24"/>
        </w:rPr>
        <w:t>, posiadające świadectwo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 xml:space="preserve">bezpieczeństwa dopuszczające do </w:t>
      </w:r>
      <w:r w:rsidRPr="00A44FC0">
        <w:rPr>
          <w:rFonts w:cstheme="minorHAnsi"/>
          <w:sz w:val="24"/>
          <w:szCs w:val="24"/>
        </w:rPr>
        <w:t>u</w:t>
      </w:r>
      <w:r>
        <w:rPr>
          <w:rFonts w:cstheme="minorHAnsi"/>
          <w:sz w:val="24"/>
          <w:szCs w:val="24"/>
        </w:rPr>
        <w:t>ż</w:t>
      </w:r>
      <w:r w:rsidRPr="00A44FC0">
        <w:rPr>
          <w:rFonts w:cstheme="minorHAnsi"/>
          <w:sz w:val="24"/>
          <w:szCs w:val="24"/>
        </w:rPr>
        <w:t>ytkowania</w:t>
      </w:r>
      <w:r w:rsidRPr="00A44FC0">
        <w:rPr>
          <w:rFonts w:cstheme="minorHAnsi"/>
          <w:sz w:val="24"/>
          <w:szCs w:val="24"/>
        </w:rPr>
        <w:t xml:space="preserve"> na terenie RP. Gniazdo to oznaczone jest w sposób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jednoznacznie wskazujący na jego przeznaczenie (czerwone)</w:t>
      </w:r>
      <w:r>
        <w:rPr>
          <w:rFonts w:cstheme="minorHAnsi"/>
          <w:sz w:val="24"/>
          <w:szCs w:val="24"/>
        </w:rPr>
        <w:t>.</w:t>
      </w:r>
    </w:p>
    <w:p w14:paraId="2359AF78" w14:textId="42AD4DE0" w:rsid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7A81210" w14:textId="42E62EFD" w:rsidR="00A44FC0" w:rsidRP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44FC0">
        <w:rPr>
          <w:rFonts w:cstheme="minorHAnsi"/>
          <w:sz w:val="24"/>
          <w:szCs w:val="24"/>
        </w:rPr>
        <w:t xml:space="preserve">Instalacja </w:t>
      </w:r>
      <w:r w:rsidR="00C02135">
        <w:rPr>
          <w:rFonts w:cstheme="minorHAnsi"/>
          <w:sz w:val="24"/>
          <w:szCs w:val="24"/>
        </w:rPr>
        <w:t>wykonana</w:t>
      </w:r>
      <w:r w:rsidRPr="00A44FC0">
        <w:rPr>
          <w:rFonts w:cstheme="minorHAnsi"/>
          <w:sz w:val="24"/>
          <w:szCs w:val="24"/>
        </w:rPr>
        <w:t xml:space="preserve"> jako trzyprzewodowa 1x230 V z izolowanym przewodem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neutralnym (N) i przewodem ochronnym (PE) w układzie zasilania TNS.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 xml:space="preserve">Źródłem zasilania </w:t>
      </w:r>
      <w:r w:rsidR="00C02135">
        <w:rPr>
          <w:rFonts w:cstheme="minorHAnsi"/>
          <w:sz w:val="24"/>
          <w:szCs w:val="24"/>
        </w:rPr>
        <w:t>będzie</w:t>
      </w:r>
      <w:r w:rsidRPr="00A44FC0">
        <w:rPr>
          <w:rFonts w:cstheme="minorHAnsi"/>
          <w:sz w:val="24"/>
          <w:szCs w:val="24"/>
        </w:rPr>
        <w:t xml:space="preserve"> rozdzielnic</w:t>
      </w:r>
      <w:r w:rsidR="00C02135">
        <w:rPr>
          <w:rFonts w:cstheme="minorHAnsi"/>
          <w:sz w:val="24"/>
          <w:szCs w:val="24"/>
        </w:rPr>
        <w:t>a</w:t>
      </w:r>
      <w:r w:rsidRPr="00A44FC0">
        <w:rPr>
          <w:rFonts w:cstheme="minorHAnsi"/>
          <w:sz w:val="24"/>
          <w:szCs w:val="24"/>
        </w:rPr>
        <w:t xml:space="preserve"> zasilania wydzielonego </w:t>
      </w:r>
      <w:r w:rsidR="00C02135">
        <w:rPr>
          <w:rFonts w:cstheme="minorHAnsi"/>
          <w:sz w:val="24"/>
          <w:szCs w:val="24"/>
        </w:rPr>
        <w:t xml:space="preserve">(UPS </w:t>
      </w:r>
      <w:proofErr w:type="gramStart"/>
      <w:r w:rsidR="00C02135">
        <w:rPr>
          <w:rFonts w:cstheme="minorHAnsi"/>
          <w:sz w:val="24"/>
          <w:szCs w:val="24"/>
        </w:rPr>
        <w:t>centralny )</w:t>
      </w:r>
      <w:r w:rsidRPr="00A44FC0">
        <w:rPr>
          <w:rFonts w:cstheme="minorHAnsi"/>
          <w:sz w:val="24"/>
          <w:szCs w:val="24"/>
        </w:rPr>
        <w:t>zlokalizowane</w:t>
      </w:r>
      <w:proofErr w:type="gramEnd"/>
      <w:r w:rsidRPr="00A44FC0">
        <w:rPr>
          <w:rFonts w:cstheme="minorHAnsi"/>
          <w:sz w:val="24"/>
          <w:szCs w:val="24"/>
        </w:rPr>
        <w:t xml:space="preserve"> w rejonie szafy kablowej FDC</w:t>
      </w:r>
      <w:r w:rsidR="00C02135">
        <w:rPr>
          <w:rFonts w:cstheme="minorHAnsi"/>
          <w:sz w:val="24"/>
          <w:szCs w:val="24"/>
        </w:rPr>
        <w:t xml:space="preserve">4. </w:t>
      </w:r>
      <w:r w:rsidRPr="00A44FC0">
        <w:rPr>
          <w:rFonts w:cstheme="minorHAnsi"/>
          <w:sz w:val="24"/>
          <w:szCs w:val="24"/>
        </w:rPr>
        <w:t>Sieć gniazd przyłączeniowych wykonana całkowicie przewodami</w:t>
      </w:r>
      <w:r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 xml:space="preserve">miedzianymi typu </w:t>
      </w:r>
      <w:proofErr w:type="spellStart"/>
      <w:r w:rsidRPr="00A44FC0">
        <w:rPr>
          <w:rFonts w:cstheme="minorHAnsi"/>
          <w:sz w:val="24"/>
          <w:szCs w:val="24"/>
        </w:rPr>
        <w:t>YDY</w:t>
      </w:r>
      <w:r>
        <w:rPr>
          <w:rFonts w:cstheme="minorHAnsi"/>
          <w:sz w:val="24"/>
          <w:szCs w:val="24"/>
        </w:rPr>
        <w:t>ż</w:t>
      </w:r>
      <w:r w:rsidRPr="00A44FC0">
        <w:rPr>
          <w:rFonts w:cstheme="minorHAnsi"/>
          <w:sz w:val="24"/>
          <w:szCs w:val="24"/>
        </w:rPr>
        <w:t>o</w:t>
      </w:r>
      <w:proofErr w:type="spellEnd"/>
      <w:r w:rsidRPr="00A44FC0">
        <w:rPr>
          <w:rFonts w:cstheme="minorHAnsi"/>
          <w:sz w:val="24"/>
          <w:szCs w:val="24"/>
        </w:rPr>
        <w:t xml:space="preserve"> o przekroju min.2,5mm2 napięciu znamionowym izolacji min. 750 V i łączona za</w:t>
      </w:r>
      <w:r w:rsidR="00C02135">
        <w:rPr>
          <w:rFonts w:cstheme="minorHAnsi"/>
          <w:sz w:val="24"/>
          <w:szCs w:val="24"/>
        </w:rPr>
        <w:t xml:space="preserve"> </w:t>
      </w:r>
      <w:r w:rsidRPr="00A44FC0">
        <w:rPr>
          <w:rFonts w:cstheme="minorHAnsi"/>
          <w:sz w:val="24"/>
          <w:szCs w:val="24"/>
        </w:rPr>
        <w:t>pomocą szybkozłączy.</w:t>
      </w:r>
    </w:p>
    <w:p w14:paraId="0D9150D9" w14:textId="5C53E2F3" w:rsidR="00A44FC0" w:rsidRDefault="00A44FC0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44FC0">
        <w:rPr>
          <w:rFonts w:cstheme="minorHAnsi"/>
          <w:sz w:val="24"/>
          <w:szCs w:val="24"/>
        </w:rPr>
        <w:t>Wszystkie instalacje prowadzone są odrębną trasą korytka w przestrzeni sufitowej lub w natynkowym</w:t>
      </w:r>
      <w:r w:rsidR="00C02135">
        <w:rPr>
          <w:rFonts w:cstheme="minorHAnsi"/>
          <w:sz w:val="24"/>
          <w:szCs w:val="24"/>
        </w:rPr>
        <w:t xml:space="preserve"> lub podtynkowym </w:t>
      </w:r>
      <w:r w:rsidRPr="00A44FC0">
        <w:rPr>
          <w:rFonts w:cstheme="minorHAnsi"/>
          <w:sz w:val="24"/>
          <w:szCs w:val="24"/>
        </w:rPr>
        <w:t>korycie PCV z przegrodą</w:t>
      </w:r>
      <w:r w:rsidR="00C02135">
        <w:rPr>
          <w:rFonts w:cstheme="minorHAnsi"/>
          <w:sz w:val="24"/>
          <w:szCs w:val="24"/>
        </w:rPr>
        <w:t>.</w:t>
      </w:r>
    </w:p>
    <w:p w14:paraId="19366FF4" w14:textId="587197CA" w:rsidR="00C02135" w:rsidRDefault="00C02135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8D90A69" w14:textId="0E95113A" w:rsidR="00C02135" w:rsidRDefault="00C02135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Panel medyczny w każdym pokoju porodu powinien zwierać 1 punkt PEL złożony z gniazda 2xRJ45 oraz 2x zasilanie DATA. Przy każdym biurku 70x100cm (4szt.) punkt PEL złożony z gniazda 2xRJ45 oraz 3 x zasilanie DATA. Blat 60x140 </w:t>
      </w:r>
      <w:r>
        <w:rPr>
          <w:rFonts w:cstheme="minorHAnsi"/>
          <w:sz w:val="24"/>
          <w:szCs w:val="24"/>
        </w:rPr>
        <w:t>PEL złożony z gniazda 2xRJ45 oraz 3 x zasilanie DATA</w:t>
      </w:r>
      <w:r>
        <w:rPr>
          <w:rFonts w:cstheme="minorHAnsi"/>
          <w:sz w:val="24"/>
          <w:szCs w:val="24"/>
        </w:rPr>
        <w:t xml:space="preserve">. Punkt oceny noworodka </w:t>
      </w:r>
      <w:r w:rsidR="00A545F4">
        <w:rPr>
          <w:rFonts w:cstheme="minorHAnsi"/>
          <w:sz w:val="24"/>
          <w:szCs w:val="24"/>
        </w:rPr>
        <w:t>1 punkt PEL złożony z gniazda 2xRJ45 oraz 2x zasilanie DATA</w:t>
      </w:r>
      <w:r w:rsidR="00A545F4">
        <w:rPr>
          <w:rFonts w:cstheme="minorHAnsi"/>
          <w:sz w:val="24"/>
          <w:szCs w:val="24"/>
        </w:rPr>
        <w:t xml:space="preserve">. Okolice półek 20x100 </w:t>
      </w:r>
      <w:r w:rsidR="00A545F4">
        <w:rPr>
          <w:rFonts w:cstheme="minorHAnsi"/>
          <w:sz w:val="24"/>
          <w:szCs w:val="24"/>
        </w:rPr>
        <w:t>PEL złożony z gniazda 2xRJ45 oraz 3 x zasilanie DATA.</w:t>
      </w:r>
      <w:r w:rsidR="00A545F4">
        <w:rPr>
          <w:rFonts w:cstheme="minorHAnsi"/>
          <w:sz w:val="24"/>
          <w:szCs w:val="24"/>
        </w:rPr>
        <w:t xml:space="preserve"> </w:t>
      </w:r>
    </w:p>
    <w:p w14:paraId="07C29200" w14:textId="4E67B8C1" w:rsidR="00A545F4" w:rsidRDefault="00A545F4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C27AB23" w14:textId="08506297" w:rsidR="00A545F4" w:rsidRPr="00A44FC0" w:rsidRDefault="00A545F4" w:rsidP="00A44F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Przy panelu zbiorczym </w:t>
      </w:r>
      <w:r>
        <w:rPr>
          <w:rFonts w:cstheme="minorHAnsi"/>
          <w:sz w:val="24"/>
          <w:szCs w:val="24"/>
        </w:rPr>
        <w:t>PEL złożony z gniazda 2xRJ45 oraz 3 x zasilanie DATA</w:t>
      </w:r>
      <w:r>
        <w:rPr>
          <w:rFonts w:cstheme="minorHAnsi"/>
          <w:sz w:val="24"/>
          <w:szCs w:val="24"/>
        </w:rPr>
        <w:t>. Drugi taki sam zestaw zbiorczy w rogu po lewej pomiędzy pokojami 1 i 2, ponadto rozplanowanie tras kablowych umożliwiające w późniejszym czasie przeciągnięcie dodatkowego dedykowanego okablowania pomiędzy pokojami porodów nad panelem medycznym a punktem zbiorczym, np. koryto nad podsufitką lub jeśli nie będzie zabudowy sufitowej do koryto umieszczone w ścianach z pilotem do przeciągania kabli.</w:t>
      </w:r>
    </w:p>
    <w:sectPr w:rsidR="00A545F4" w:rsidRPr="00A44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">
    <w:altName w:val="DFGothic-EB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FC0"/>
    <w:rsid w:val="00A44FC0"/>
    <w:rsid w:val="00A545F4"/>
    <w:rsid w:val="00C02135"/>
    <w:rsid w:val="00D91382"/>
    <w:rsid w:val="00FD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14044"/>
  <w15:chartTrackingRefBased/>
  <w15:docId w15:val="{F597B292-04E6-4651-9D1A-D10B707B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Pawlik</dc:creator>
  <cp:keywords/>
  <dc:description/>
  <cp:lastModifiedBy>Marcin Pawlik</cp:lastModifiedBy>
  <cp:revision>1</cp:revision>
  <dcterms:created xsi:type="dcterms:W3CDTF">2020-07-16T07:56:00Z</dcterms:created>
  <dcterms:modified xsi:type="dcterms:W3CDTF">2020-07-16T11:41:00Z</dcterms:modified>
</cp:coreProperties>
</file>